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1B26E23C"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2B160A">
        <w:rPr>
          <w:b/>
          <w:sz w:val="28"/>
          <w:szCs w:val="28"/>
          <w:lang w:eastAsia="en-GB"/>
        </w:rPr>
        <w:t>bis</w:t>
      </w:r>
      <w:r w:rsidRPr="00012D58">
        <w:rPr>
          <w:b/>
          <w:sz w:val="28"/>
          <w:szCs w:val="28"/>
          <w:lang w:eastAsia="en-GB"/>
        </w:rPr>
        <w:tab/>
      </w:r>
      <w:bookmarkStart w:id="0" w:name="OLE_LINK417"/>
      <w:bookmarkStart w:id="1" w:name="OLE_LINK418"/>
      <w:r w:rsidR="002B160A">
        <w:rPr>
          <w:b/>
          <w:sz w:val="28"/>
          <w:szCs w:val="28"/>
          <w:lang w:eastAsia="en-GB"/>
        </w:rPr>
        <w:t>R2-191</w:t>
      </w:r>
      <w:r w:rsidR="009859A9">
        <w:rPr>
          <w:b/>
          <w:sz w:val="28"/>
          <w:szCs w:val="28"/>
          <w:lang w:eastAsia="en-GB"/>
        </w:rPr>
        <w:t>3029</w:t>
      </w:r>
    </w:p>
    <w:bookmarkEnd w:id="0"/>
    <w:bookmarkEnd w:id="1"/>
    <w:p w14:paraId="0C4FDF86" w14:textId="2193ED25" w:rsidR="0032193D" w:rsidRPr="00C45F39" w:rsidRDefault="005137EC" w:rsidP="009859A9">
      <w:pPr>
        <w:pStyle w:val="CRCoverPage"/>
        <w:spacing w:line="360" w:lineRule="auto"/>
        <w:jc w:val="both"/>
        <w:outlineLvl w:val="0"/>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E1402B" w:rsidRPr="00E1402B">
        <w:rPr>
          <w:b/>
          <w:sz w:val="28"/>
          <w:szCs w:val="28"/>
          <w:lang w:eastAsia="en-GB"/>
        </w:rPr>
        <w:t>Oct</w:t>
      </w:r>
      <w:r w:rsidR="00D97D14">
        <w:rPr>
          <w:b/>
          <w:sz w:val="28"/>
          <w:szCs w:val="28"/>
          <w:lang w:eastAsia="en-GB"/>
        </w:rPr>
        <w:t>.</w:t>
      </w:r>
      <w:r w:rsidR="00157184" w:rsidRPr="00012D58">
        <w:rPr>
          <w:b/>
          <w:sz w:val="28"/>
          <w:szCs w:val="28"/>
          <w:lang w:eastAsia="en-GB"/>
        </w:rPr>
        <w:t xml:space="preserve">, 2019                       </w:t>
      </w:r>
    </w:p>
    <w:p w14:paraId="1E3D9718" w14:textId="1D767E68" w:rsidR="00300AE8" w:rsidRPr="00780212"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780212" w:rsidRPr="00780212">
        <w:rPr>
          <w:sz w:val="22"/>
          <w:szCs w:val="22"/>
          <w:lang w:val="en-US"/>
        </w:rPr>
        <w:t>6.2.2.2</w:t>
      </w:r>
      <w:bookmarkStart w:id="2" w:name="_GoBack"/>
      <w:bookmarkEnd w:id="2"/>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69262515"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910E87">
        <w:rPr>
          <w:sz w:val="22"/>
          <w:szCs w:val="22"/>
          <w:lang w:val="en-US"/>
        </w:rPr>
        <w:t>UL LBT failure</w:t>
      </w:r>
    </w:p>
    <w:p w14:paraId="2B4F609C" w14:textId="11838619" w:rsidR="00300AE8" w:rsidRPr="009859A9" w:rsidRDefault="00300AE8" w:rsidP="009859A9">
      <w:pPr>
        <w:pStyle w:val="3GPPHeader"/>
        <w:rPr>
          <w:rFonts w:eastAsiaTheme="minorEastAsia"/>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1"/>
        <w:rPr>
          <w:lang w:val="en-US"/>
        </w:rPr>
      </w:pPr>
      <w:r w:rsidRPr="003533B0">
        <w:rPr>
          <w:lang w:val="en-US"/>
        </w:rPr>
        <w:t>Introduction</w:t>
      </w:r>
    </w:p>
    <w:p w14:paraId="64C1CA24" w14:textId="7DBC3502" w:rsidR="00F24E9F" w:rsidRDefault="00F24E9F" w:rsidP="00F24E9F">
      <w:pPr>
        <w:rPr>
          <w:rFonts w:cs="Arial"/>
          <w:lang w:eastAsia="x-none"/>
        </w:rPr>
      </w:pPr>
      <w:r w:rsidRPr="00616BEE">
        <w:rPr>
          <w:rFonts w:cs="Arial"/>
          <w:lang w:eastAsia="x-none"/>
        </w:rPr>
        <w:t>In RAN2#10</w:t>
      </w:r>
      <w:r w:rsidR="00137292">
        <w:rPr>
          <w:rFonts w:cs="Arial"/>
          <w:lang w:eastAsia="x-none"/>
        </w:rPr>
        <w:t>7</w:t>
      </w:r>
      <w:r w:rsidRPr="00616BEE">
        <w:rPr>
          <w:rFonts w:cs="Arial"/>
          <w:lang w:eastAsia="x-none"/>
        </w:rPr>
        <w:t>, the following agreement were made [</w:t>
      </w:r>
      <w:r w:rsidR="00616BEE">
        <w:rPr>
          <w:rFonts w:cs="Arial"/>
          <w:lang w:eastAsia="x-none"/>
        </w:rPr>
        <w:t>1</w:t>
      </w:r>
      <w:r w:rsidRPr="00616BEE">
        <w:rPr>
          <w:rFonts w:cs="Arial"/>
          <w:lang w:eastAsia="x-none"/>
        </w:rPr>
        <w:t>]:</w:t>
      </w:r>
    </w:p>
    <w:p w14:paraId="1E11D256" w14:textId="77777777" w:rsidR="001814E4" w:rsidRDefault="001814E4" w:rsidP="001814E4">
      <w:pPr>
        <w:pStyle w:val="Doc-text2"/>
        <w:ind w:left="363"/>
      </w:pPr>
    </w:p>
    <w:tbl>
      <w:tblPr>
        <w:tblStyle w:val="af0"/>
        <w:tblW w:w="0" w:type="auto"/>
        <w:tblLook w:val="04A0" w:firstRow="1" w:lastRow="0" w:firstColumn="1" w:lastColumn="0" w:noHBand="0" w:noVBand="1"/>
      </w:tblPr>
      <w:tblGrid>
        <w:gridCol w:w="9629"/>
      </w:tblGrid>
      <w:tr w:rsidR="001814E4" w14:paraId="5B8676B5" w14:textId="77777777" w:rsidTr="006F63AA">
        <w:tc>
          <w:tcPr>
            <w:tcW w:w="10194" w:type="dxa"/>
          </w:tcPr>
          <w:p w14:paraId="2CBEED88" w14:textId="384A9C51" w:rsidR="001814E4" w:rsidRDefault="001814E4" w:rsidP="006F63AA">
            <w:pPr>
              <w:pStyle w:val="Comments-red"/>
            </w:pPr>
            <w:r>
              <w:t>RAN2#10</w:t>
            </w:r>
            <w:r w:rsidR="00137292">
              <w:t>7</w:t>
            </w:r>
            <w:r>
              <w:t xml:space="preserve"> agreement</w:t>
            </w:r>
          </w:p>
          <w:p w14:paraId="33AB4E67" w14:textId="77777777" w:rsidR="001814E4" w:rsidRDefault="001814E4" w:rsidP="009859A9">
            <w:pPr>
              <w:pStyle w:val="Agreement"/>
              <w:spacing w:before="0"/>
            </w:pPr>
            <w:r>
              <w:t xml:space="preserve">L2 LBT failure mechanism take into account any LBT failure regardless UL transmission type. </w:t>
            </w:r>
          </w:p>
          <w:p w14:paraId="4DEB90A5" w14:textId="77777777" w:rsidR="001814E4" w:rsidRDefault="001814E4" w:rsidP="009859A9">
            <w:pPr>
              <w:pStyle w:val="Agreement"/>
              <w:spacing w:before="0"/>
            </w:pPr>
            <w:r>
              <w:t>The UL LBT failure mechanism will have the same recovery mechanism for all failures regardless UL transmission type</w:t>
            </w:r>
          </w:p>
          <w:p w14:paraId="6118F1DE" w14:textId="77777777" w:rsidR="001814E4" w:rsidRDefault="001814E4" w:rsidP="009859A9">
            <w:pPr>
              <w:pStyle w:val="Agreement"/>
              <w:spacing w:before="0"/>
            </w:pPr>
            <w:r>
              <w:t>UL LBT failures are detected per BWP</w:t>
            </w:r>
          </w:p>
          <w:p w14:paraId="3780D4A1" w14:textId="73B327BE" w:rsidR="001814E4" w:rsidRDefault="001814E4" w:rsidP="009859A9">
            <w:pPr>
              <w:pStyle w:val="Agreement"/>
              <w:spacing w:before="0"/>
            </w:pPr>
            <w:bookmarkStart w:id="3" w:name="OLE_LINK10"/>
            <w:r>
              <w:t>The UE will report the occurrence of consistent UL LBT failures on PSCell and SCells. The assumption is to reuse SCell failure reporting for BF</w:t>
            </w:r>
            <w:bookmarkEnd w:id="3"/>
          </w:p>
          <w:p w14:paraId="6469E659" w14:textId="77777777" w:rsidR="001814E4" w:rsidRPr="00172C2F" w:rsidRDefault="001814E4">
            <w:pPr>
              <w:pStyle w:val="Doc-text2"/>
              <w:rPr>
                <w:b/>
              </w:rPr>
            </w:pPr>
            <w:r w:rsidRPr="00172C2F">
              <w:rPr>
                <w:b/>
              </w:rPr>
              <w:t xml:space="preserve">Baseline Mechanism, further enhancements not precluded: </w:t>
            </w:r>
          </w:p>
          <w:p w14:paraId="4DB6D792" w14:textId="77777777" w:rsidR="001814E4" w:rsidRDefault="001814E4" w:rsidP="009859A9">
            <w:pPr>
              <w:pStyle w:val="Agreement"/>
              <w:spacing w:before="0"/>
            </w:pPr>
            <w:r>
              <w:t xml:space="preserve">A “threshold” for the maximum number of LBT failures which triggers the “consistent” LBT failure event will be used. </w:t>
            </w:r>
          </w:p>
          <w:p w14:paraId="7A78E3D0" w14:textId="77777777" w:rsidR="001814E4" w:rsidRDefault="001814E4" w:rsidP="009859A9">
            <w:pPr>
              <w:pStyle w:val="Agreement"/>
              <w:spacing w:before="0"/>
            </w:pPr>
            <w:r>
              <w:t xml:space="preserve">Both a timer and a counter are introduced, the counter is </w:t>
            </w:r>
            <w:r w:rsidRPr="001F0C60">
              <w:t xml:space="preserve">reset when timer expires and incremented when </w:t>
            </w:r>
            <w:r>
              <w:t xml:space="preserve">UL </w:t>
            </w:r>
            <w:r w:rsidRPr="001F0C60">
              <w:t>LBT failure happens</w:t>
            </w:r>
          </w:p>
          <w:p w14:paraId="4BA38732" w14:textId="3B08A50D" w:rsidR="001814E4" w:rsidRPr="009859A9" w:rsidRDefault="001814E4" w:rsidP="009859A9">
            <w:pPr>
              <w:pStyle w:val="Agreement"/>
              <w:spacing w:before="0"/>
              <w:rPr>
                <w:rFonts w:eastAsiaTheme="minorEastAsia"/>
              </w:rPr>
            </w:pPr>
            <w:r>
              <w:t>The timer is started/restarted when</w:t>
            </w:r>
            <w:r w:rsidRPr="006A7A56">
              <w:t xml:space="preserve"> </w:t>
            </w:r>
            <w:r>
              <w:t>UL LBT failure</w:t>
            </w:r>
            <w:r w:rsidRPr="006A7A56">
              <w:t xml:space="preserve"> occur</w:t>
            </w:r>
            <w:r>
              <w:t xml:space="preserve">. </w:t>
            </w:r>
          </w:p>
        </w:tc>
      </w:tr>
    </w:tbl>
    <w:p w14:paraId="3E2C6DCF" w14:textId="77777777" w:rsidR="00F24E9F" w:rsidRPr="00616BEE" w:rsidRDefault="00F24E9F" w:rsidP="003C1556">
      <w:pPr>
        <w:rPr>
          <w:rFonts w:cs="Arial"/>
          <w:lang w:eastAsia="x-none"/>
        </w:rPr>
      </w:pPr>
    </w:p>
    <w:p w14:paraId="11A40B4E" w14:textId="30379997" w:rsidR="003C1556" w:rsidRPr="00616BEE" w:rsidRDefault="00964A06" w:rsidP="003C1556">
      <w:pPr>
        <w:rPr>
          <w:rFonts w:cs="Arial"/>
          <w:lang w:val="en-US"/>
        </w:rPr>
      </w:pPr>
      <w:r w:rsidRPr="00616BEE">
        <w:rPr>
          <w:rFonts w:cs="Arial"/>
          <w:lang w:eastAsia="x-none"/>
        </w:rPr>
        <w:t xml:space="preserve">In this paper, </w:t>
      </w:r>
      <w:r w:rsidRPr="00616BEE">
        <w:rPr>
          <w:rFonts w:cs="Arial"/>
          <w:lang w:val="en-US"/>
        </w:rPr>
        <w:t>w</w:t>
      </w:r>
      <w:r w:rsidR="00815B98" w:rsidRPr="00616BEE">
        <w:rPr>
          <w:rFonts w:cs="Arial"/>
          <w:lang w:val="en-US"/>
        </w:rPr>
        <w:t>e</w:t>
      </w:r>
      <w:r w:rsidR="00F24E9F" w:rsidRPr="00616BEE">
        <w:rPr>
          <w:rFonts w:cs="Arial"/>
          <w:lang w:val="en-US"/>
        </w:rPr>
        <w:t xml:space="preserve"> further</w:t>
      </w:r>
      <w:r w:rsidR="00815B98" w:rsidRPr="00616BEE">
        <w:rPr>
          <w:rFonts w:cs="Arial"/>
          <w:lang w:val="en-US"/>
        </w:rPr>
        <w:t xml:space="preserve"> </w:t>
      </w:r>
      <w:r w:rsidR="0054568F" w:rsidRPr="00616BEE">
        <w:rPr>
          <w:rFonts w:cs="Arial"/>
          <w:lang w:val="en-US"/>
        </w:rPr>
        <w:t xml:space="preserve">discuss </w:t>
      </w:r>
      <w:r w:rsidR="00333545">
        <w:rPr>
          <w:rFonts w:cs="Arial"/>
          <w:lang w:val="en-US"/>
        </w:rPr>
        <w:t>remaining issue on UL LBT failure</w:t>
      </w:r>
      <w:r w:rsidR="00F24E9F" w:rsidRPr="00616BEE">
        <w:rPr>
          <w:rFonts w:cs="Arial"/>
          <w:lang w:val="en-US"/>
        </w:rPr>
        <w:t xml:space="preserve"> based on the above agreements</w:t>
      </w:r>
      <w:r w:rsidR="00827E21" w:rsidRPr="00616BEE">
        <w:rPr>
          <w:rFonts w:cs="Arial"/>
          <w:lang w:val="en-US"/>
        </w:rPr>
        <w:t>.</w:t>
      </w:r>
    </w:p>
    <w:p w14:paraId="6336AEBD" w14:textId="4916F247" w:rsidR="00333545" w:rsidRDefault="00333545" w:rsidP="00333545">
      <w:pPr>
        <w:pStyle w:val="1"/>
        <w:rPr>
          <w:lang w:val="en-US"/>
        </w:rPr>
      </w:pPr>
      <w:r>
        <w:rPr>
          <w:lang w:val="en-US"/>
        </w:rPr>
        <w:t>UL LBT failure</w:t>
      </w:r>
      <w:r w:rsidR="00C45F39">
        <w:rPr>
          <w:lang w:val="en-US"/>
        </w:rPr>
        <w:t xml:space="preserve"> detection</w:t>
      </w:r>
      <w:r>
        <w:rPr>
          <w:lang w:val="en-US"/>
        </w:rPr>
        <w:t xml:space="preserve"> with BWP switching</w:t>
      </w:r>
    </w:p>
    <w:p w14:paraId="32B1C2D9" w14:textId="5A54A969" w:rsidR="00806F29" w:rsidRDefault="00806F29" w:rsidP="00333545">
      <w:pPr>
        <w:rPr>
          <w:lang w:val="en-US"/>
        </w:rPr>
      </w:pPr>
      <w:r>
        <w:rPr>
          <w:lang w:val="en-US"/>
        </w:rPr>
        <w:t>In Rel-15, multiple BWPs can be configured while only one BWP can be active. Different BWP may configured with different frequency ranges. BWP switching is supported, i.e. one BWP is active and the other BWP is deactivated. The active BWP can be switched from the current BWP to a new BWP. In NR-U, the above rules can be applied to NR-U.</w:t>
      </w:r>
    </w:p>
    <w:p w14:paraId="6654AEDF" w14:textId="27DDB1D0" w:rsidR="00806F29" w:rsidRDefault="002E1CBB" w:rsidP="00333545">
      <w:pPr>
        <w:rPr>
          <w:lang w:val="en-US"/>
        </w:rPr>
      </w:pPr>
      <w:r>
        <w:rPr>
          <w:lang w:val="en-US"/>
        </w:rPr>
        <w:t>In the last meeting, we have</w:t>
      </w:r>
      <w:r w:rsidR="00806F29">
        <w:rPr>
          <w:lang w:val="en-US"/>
        </w:rPr>
        <w:t xml:space="preserve"> agreed </w:t>
      </w:r>
      <w:r w:rsidR="007C0B9A">
        <w:rPr>
          <w:lang w:val="en-US"/>
        </w:rPr>
        <w:t xml:space="preserve">that </w:t>
      </w:r>
      <w:r w:rsidR="00806F29">
        <w:rPr>
          <w:lang w:val="en-US"/>
        </w:rPr>
        <w:t>both a counter and a timer are used to detect the UL LBT failure.  In case different BWPs with different LBT subbands, the question comes how to handle the UL LBT failure variables (i.e. the counter and timer) when BWP switching</w:t>
      </w:r>
      <w:r w:rsidR="000B6680">
        <w:rPr>
          <w:lang w:val="en-US"/>
        </w:rPr>
        <w:t>,</w:t>
      </w:r>
      <w:r w:rsidR="00806F29">
        <w:rPr>
          <w:lang w:val="en-US"/>
        </w:rPr>
        <w:t xml:space="preserve"> </w:t>
      </w:r>
      <w:r w:rsidR="000B6680">
        <w:rPr>
          <w:lang w:val="en-US"/>
        </w:rPr>
        <w:t xml:space="preserve">e.g. by DCI, </w:t>
      </w:r>
      <w:r w:rsidR="00806F29">
        <w:rPr>
          <w:lang w:val="en-US"/>
        </w:rPr>
        <w:t>is performed</w:t>
      </w:r>
      <w:r w:rsidR="000B6680">
        <w:rPr>
          <w:lang w:val="en-US"/>
        </w:rPr>
        <w:t xml:space="preserve"> with LBT subband changing</w:t>
      </w:r>
      <w:r w:rsidR="00806F29">
        <w:rPr>
          <w:lang w:val="en-US"/>
        </w:rPr>
        <w:t>.</w:t>
      </w:r>
      <w:r w:rsidR="000B6680">
        <w:rPr>
          <w:lang w:val="en-US"/>
        </w:rPr>
        <w:t xml:space="preserve"> </w:t>
      </w:r>
      <w:r w:rsidR="001C0C51">
        <w:rPr>
          <w:lang w:val="en-US"/>
        </w:rPr>
        <w:t>Since, different BWP will have different bandwidth and correspondingly, different uplink transmissions, w</w:t>
      </w:r>
      <w:r w:rsidR="00806F29">
        <w:rPr>
          <w:lang w:val="en-US"/>
        </w:rPr>
        <w:t xml:space="preserve">e </w:t>
      </w:r>
      <w:r w:rsidR="007C0B9A">
        <w:rPr>
          <w:lang w:val="en-US"/>
        </w:rPr>
        <w:t xml:space="preserve">think </w:t>
      </w:r>
      <w:r w:rsidR="000B6680">
        <w:rPr>
          <w:lang w:val="en-US"/>
        </w:rPr>
        <w:t>the counter should be reset and timer should be stopped considering to different LBT subbands.</w:t>
      </w:r>
    </w:p>
    <w:p w14:paraId="60EE1D30" w14:textId="6C000456" w:rsidR="00840F3E" w:rsidRPr="00333545" w:rsidRDefault="000B6680" w:rsidP="00333545">
      <w:pPr>
        <w:rPr>
          <w:lang w:val="en-US"/>
        </w:rPr>
      </w:pPr>
      <w:r w:rsidRPr="009859A9">
        <w:rPr>
          <w:rFonts w:cs="Arial"/>
          <w:b/>
          <w:lang w:val="en-US" w:eastAsia="ko-KR"/>
        </w:rPr>
        <w:t xml:space="preserve">Proposal </w:t>
      </w:r>
      <w:r w:rsidR="002D4F5D" w:rsidRPr="009859A9">
        <w:rPr>
          <w:rFonts w:cs="Arial"/>
          <w:b/>
          <w:lang w:val="en-US" w:eastAsia="ko-KR"/>
        </w:rPr>
        <w:t>1</w:t>
      </w:r>
      <w:r w:rsidRPr="009859A9">
        <w:rPr>
          <w:rFonts w:cs="Arial"/>
          <w:b/>
          <w:lang w:val="en-US" w:eastAsia="ko-KR"/>
        </w:rPr>
        <w:t>: Counter for UL LBT failure</w:t>
      </w:r>
      <w:r w:rsidR="00BB5A57" w:rsidRPr="009859A9">
        <w:rPr>
          <w:rFonts w:cs="Arial"/>
          <w:b/>
          <w:lang w:val="en-US" w:eastAsia="ko-KR"/>
        </w:rPr>
        <w:t xml:space="preserve"> detection</w:t>
      </w:r>
      <w:r w:rsidRPr="009859A9">
        <w:rPr>
          <w:rFonts w:cs="Arial"/>
          <w:b/>
          <w:lang w:val="en-US" w:eastAsia="ko-KR"/>
        </w:rPr>
        <w:t xml:space="preserve"> should be reset</w:t>
      </w:r>
      <w:r w:rsidR="00BB5A57" w:rsidRPr="009859A9">
        <w:rPr>
          <w:rFonts w:cs="Arial"/>
          <w:b/>
          <w:lang w:val="en-US" w:eastAsia="ko-KR"/>
        </w:rPr>
        <w:t xml:space="preserve"> and timer for UL LBT failure detection</w:t>
      </w:r>
      <w:r w:rsidR="0004501B" w:rsidRPr="009859A9">
        <w:rPr>
          <w:rFonts w:cs="Arial"/>
          <w:b/>
          <w:lang w:val="en-US" w:eastAsia="ko-KR"/>
        </w:rPr>
        <w:t xml:space="preserve"> </w:t>
      </w:r>
      <w:r w:rsidR="00BB5A57" w:rsidRPr="009859A9">
        <w:rPr>
          <w:rFonts w:cs="Arial"/>
          <w:b/>
          <w:lang w:val="en-US" w:eastAsia="ko-KR"/>
        </w:rPr>
        <w:t>should be stopped</w:t>
      </w:r>
      <w:r w:rsidRPr="009859A9">
        <w:rPr>
          <w:rFonts w:cs="Arial"/>
          <w:b/>
          <w:lang w:val="en-US" w:eastAsia="ko-KR"/>
        </w:rPr>
        <w:t xml:space="preserve"> </w:t>
      </w:r>
      <w:r w:rsidR="00926D50" w:rsidRPr="009859A9">
        <w:rPr>
          <w:rFonts w:cs="Arial"/>
          <w:b/>
          <w:lang w:val="en-US" w:eastAsia="ko-KR"/>
        </w:rPr>
        <w:t>at BWP switching</w:t>
      </w:r>
      <w:r w:rsidRPr="009859A9">
        <w:rPr>
          <w:rFonts w:cs="Arial"/>
          <w:b/>
          <w:lang w:val="en-US" w:eastAsia="ko-KR"/>
        </w:rPr>
        <w:t>.</w:t>
      </w:r>
    </w:p>
    <w:p w14:paraId="1943D47B" w14:textId="1182B7F7" w:rsidR="00E12E79" w:rsidRPr="00333545" w:rsidRDefault="009C68A0" w:rsidP="00333545">
      <w:pPr>
        <w:pStyle w:val="1"/>
        <w:rPr>
          <w:lang w:val="en-US"/>
        </w:rPr>
      </w:pPr>
      <w:r>
        <w:rPr>
          <w:lang w:val="en-US"/>
        </w:rPr>
        <w:t>Recovery mechanism for</w:t>
      </w:r>
      <w:r w:rsidR="00333545">
        <w:rPr>
          <w:lang w:val="en-US"/>
        </w:rPr>
        <w:t xml:space="preserve"> </w:t>
      </w:r>
      <w:r w:rsidR="00333545" w:rsidRPr="00333545">
        <w:rPr>
          <w:lang w:val="en-US"/>
        </w:rPr>
        <w:t>UL LBT failure</w:t>
      </w:r>
    </w:p>
    <w:p w14:paraId="6536BD90" w14:textId="40CB8A7B" w:rsidR="002F2D17" w:rsidRDefault="000B6680" w:rsidP="00AD592C">
      <w:pPr>
        <w:rPr>
          <w:rFonts w:eastAsiaTheme="minorEastAsia" w:cs="Arial"/>
        </w:rPr>
      </w:pPr>
      <w:r w:rsidRPr="00EB37AB">
        <w:rPr>
          <w:rFonts w:eastAsiaTheme="minorEastAsia" w:cs="Arial"/>
        </w:rPr>
        <w:t xml:space="preserve">We agreed </w:t>
      </w:r>
      <w:r>
        <w:rPr>
          <w:rFonts w:eastAsiaTheme="minorEastAsia" w:cs="Arial"/>
        </w:rPr>
        <w:t>‘</w:t>
      </w:r>
      <w:r w:rsidRPr="000B6680">
        <w:rPr>
          <w:rFonts w:eastAsiaTheme="minorEastAsia" w:cs="Arial"/>
        </w:rPr>
        <w:t>The UE will report the occurrence of consistent UL LBT failures on PSCell and SCells. The assumption is to reuse SCell failure reporting for BF</w:t>
      </w:r>
      <w:r>
        <w:rPr>
          <w:rFonts w:eastAsiaTheme="minorEastAsia" w:cs="Arial"/>
        </w:rPr>
        <w:t xml:space="preserve">’. However it is FFS how to handle the </w:t>
      </w:r>
      <w:r w:rsidR="00EB37AB">
        <w:rPr>
          <w:rFonts w:eastAsiaTheme="minorEastAsia" w:cs="Arial"/>
        </w:rPr>
        <w:t>subsequent procedure</w:t>
      </w:r>
      <w:r>
        <w:rPr>
          <w:rFonts w:eastAsiaTheme="minorEastAsia" w:cs="Arial"/>
        </w:rPr>
        <w:t xml:space="preserve"> when UL LBT failure occurs on </w:t>
      </w:r>
      <w:r w:rsidR="00EB37AB">
        <w:rPr>
          <w:rFonts w:eastAsiaTheme="minorEastAsia" w:cs="Arial"/>
        </w:rPr>
        <w:t>different serving cell</w:t>
      </w:r>
      <w:r w:rsidR="0041249E">
        <w:rPr>
          <w:rFonts w:eastAsiaTheme="minorEastAsia" w:cs="Arial"/>
        </w:rPr>
        <w:t>s</w:t>
      </w:r>
      <w:r w:rsidR="00EB37AB">
        <w:rPr>
          <w:rFonts w:eastAsiaTheme="minorEastAsia" w:cs="Arial"/>
        </w:rPr>
        <w:t>.</w:t>
      </w:r>
    </w:p>
    <w:p w14:paraId="50B3C6B1" w14:textId="2FA7BB28" w:rsidR="00EB37AB" w:rsidRDefault="00EB37AB" w:rsidP="009859A9">
      <w:pPr>
        <w:pStyle w:val="2"/>
      </w:pPr>
      <w:r>
        <w:lastRenderedPageBreak/>
        <w:t>UL LBT failure on PCell</w:t>
      </w:r>
    </w:p>
    <w:p w14:paraId="205673DD" w14:textId="2639165E" w:rsidR="00EB37AB" w:rsidRDefault="0041249E" w:rsidP="00AD592C">
      <w:pPr>
        <w:rPr>
          <w:rFonts w:eastAsiaTheme="minorEastAsia" w:cs="Arial"/>
        </w:rPr>
      </w:pPr>
      <w:r>
        <w:rPr>
          <w:rFonts w:eastAsiaTheme="minorEastAsia" w:cs="Arial"/>
        </w:rPr>
        <w:t xml:space="preserve">PUCCH </w:t>
      </w:r>
      <w:r w:rsidR="00B21636">
        <w:rPr>
          <w:rFonts w:eastAsiaTheme="minorEastAsia" w:cs="Arial"/>
        </w:rPr>
        <w:t xml:space="preserve">resource can be </w:t>
      </w:r>
      <w:r>
        <w:rPr>
          <w:rFonts w:eastAsiaTheme="minorEastAsia" w:cs="Arial"/>
        </w:rPr>
        <w:t xml:space="preserve">configured on PCell. If UL LBT failure occurs on PCell, the HARQ feedback of DL data transmission </w:t>
      </w:r>
      <w:r w:rsidR="00B21636">
        <w:rPr>
          <w:rFonts w:eastAsiaTheme="minorEastAsia" w:cs="Arial"/>
        </w:rPr>
        <w:t>for</w:t>
      </w:r>
      <w:r>
        <w:rPr>
          <w:rFonts w:eastAsiaTheme="minorEastAsia" w:cs="Arial"/>
        </w:rPr>
        <w:t xml:space="preserve"> the corresponding Serving Cell will be affected. </w:t>
      </w:r>
      <w:r w:rsidR="00B21636">
        <w:rPr>
          <w:rFonts w:eastAsiaTheme="minorEastAsia" w:cs="Arial"/>
        </w:rPr>
        <w:t xml:space="preserve">The network may not be able to know whether UL LBT failure happens at UE side. </w:t>
      </w:r>
      <w:r>
        <w:rPr>
          <w:rFonts w:eastAsiaTheme="minorEastAsia" w:cs="Arial"/>
        </w:rPr>
        <w:t xml:space="preserve">Therefore we needs a recovery mechanism to ensure recovery from UL LBT failure. </w:t>
      </w:r>
      <w:r w:rsidR="00EB37AB">
        <w:rPr>
          <w:rFonts w:eastAsiaTheme="minorEastAsia" w:cs="Arial"/>
        </w:rPr>
        <w:t>The</w:t>
      </w:r>
      <w:r w:rsidR="00EC6FC1">
        <w:rPr>
          <w:rFonts w:eastAsiaTheme="minorEastAsia" w:cs="Arial"/>
        </w:rPr>
        <w:t xml:space="preserve"> following</w:t>
      </w:r>
      <w:r>
        <w:rPr>
          <w:rFonts w:eastAsiaTheme="minorEastAsia" w:cs="Arial"/>
        </w:rPr>
        <w:t xml:space="preserve"> options </w:t>
      </w:r>
      <w:r w:rsidR="00EC6FC1">
        <w:rPr>
          <w:rFonts w:eastAsiaTheme="minorEastAsia" w:cs="Arial"/>
        </w:rPr>
        <w:t xml:space="preserve">are </w:t>
      </w:r>
      <w:r>
        <w:rPr>
          <w:rFonts w:eastAsiaTheme="minorEastAsia" w:cs="Arial"/>
        </w:rPr>
        <w:t>available for recovery from UL LBT failure.</w:t>
      </w:r>
    </w:p>
    <w:p w14:paraId="6E5120F6" w14:textId="0A641CD1" w:rsidR="00EB37AB" w:rsidRPr="009859A9" w:rsidRDefault="001C3606" w:rsidP="009859A9">
      <w:pPr>
        <w:pStyle w:val="a8"/>
        <w:numPr>
          <w:ilvl w:val="0"/>
          <w:numId w:val="51"/>
        </w:numPr>
        <w:spacing w:before="240" w:line="276" w:lineRule="auto"/>
        <w:rPr>
          <w:rFonts w:eastAsiaTheme="minorEastAsia" w:cs="Arial"/>
        </w:rPr>
      </w:pPr>
      <w:r w:rsidRPr="009859A9">
        <w:rPr>
          <w:rFonts w:eastAsiaTheme="minorEastAsia" w:cs="Arial"/>
          <w:b/>
        </w:rPr>
        <w:t>Option1:</w:t>
      </w:r>
      <w:r w:rsidRPr="009859A9">
        <w:rPr>
          <w:rFonts w:eastAsiaTheme="minorEastAsia" w:cs="Arial"/>
        </w:rPr>
        <w:t xml:space="preserve"> </w:t>
      </w:r>
      <w:r w:rsidR="00EB37AB" w:rsidRPr="009859A9">
        <w:rPr>
          <w:rFonts w:eastAsiaTheme="minorEastAsia" w:cs="Arial"/>
        </w:rPr>
        <w:t>Random access on active BWP without BWP switching, the UE initiates random access procedure on active BWP directly;</w:t>
      </w:r>
    </w:p>
    <w:p w14:paraId="1E07A7F3" w14:textId="3DB237C5" w:rsidR="00EB37AB" w:rsidRPr="009859A9" w:rsidRDefault="001C3606" w:rsidP="009859A9">
      <w:pPr>
        <w:pStyle w:val="a8"/>
        <w:numPr>
          <w:ilvl w:val="0"/>
          <w:numId w:val="51"/>
        </w:numPr>
        <w:spacing w:before="240" w:line="276" w:lineRule="auto"/>
        <w:rPr>
          <w:rFonts w:eastAsiaTheme="minorEastAsia" w:cs="Arial"/>
        </w:rPr>
      </w:pPr>
      <w:r w:rsidRPr="009859A9">
        <w:rPr>
          <w:rFonts w:eastAsiaTheme="minorEastAsia" w:cs="Arial"/>
          <w:b/>
        </w:rPr>
        <w:t>Option2:</w:t>
      </w:r>
      <w:r w:rsidRPr="009859A9">
        <w:rPr>
          <w:rFonts w:eastAsiaTheme="minorEastAsia" w:cs="Arial"/>
        </w:rPr>
        <w:t xml:space="preserve"> </w:t>
      </w:r>
      <w:r w:rsidR="00EB37AB" w:rsidRPr="009859A9">
        <w:rPr>
          <w:rFonts w:eastAsiaTheme="minorEastAsia" w:cs="Arial"/>
        </w:rPr>
        <w:t>Random access on active BWP with BWP switching, the UE switches its active BWP to another BWP and initiates the random access procedure;</w:t>
      </w:r>
    </w:p>
    <w:p w14:paraId="4A323DCE" w14:textId="79126318" w:rsidR="00EB37AB" w:rsidRPr="009859A9" w:rsidRDefault="001C3606" w:rsidP="009859A9">
      <w:pPr>
        <w:pStyle w:val="a8"/>
        <w:numPr>
          <w:ilvl w:val="0"/>
          <w:numId w:val="51"/>
        </w:numPr>
        <w:spacing w:before="240" w:line="276" w:lineRule="auto"/>
        <w:rPr>
          <w:rFonts w:eastAsiaTheme="minorEastAsia" w:cs="Arial"/>
        </w:rPr>
      </w:pPr>
      <w:r w:rsidRPr="009859A9">
        <w:rPr>
          <w:rFonts w:eastAsiaTheme="minorEastAsia" w:cs="Arial"/>
          <w:b/>
        </w:rPr>
        <w:t>Option3:</w:t>
      </w:r>
      <w:r w:rsidRPr="009859A9">
        <w:rPr>
          <w:rFonts w:eastAsiaTheme="minorEastAsia" w:cs="Arial"/>
        </w:rPr>
        <w:t xml:space="preserve"> </w:t>
      </w:r>
      <w:r w:rsidR="00EB37AB" w:rsidRPr="009859A9">
        <w:rPr>
          <w:rFonts w:eastAsiaTheme="minorEastAsia" w:cs="Arial"/>
        </w:rPr>
        <w:t>Random access on another serving cell (i.e. re</w:t>
      </w:r>
      <w:r w:rsidR="00C27118" w:rsidRPr="009859A9">
        <w:rPr>
          <w:rFonts w:eastAsiaTheme="minorEastAsia" w:cs="Arial"/>
        </w:rPr>
        <w:t>-</w:t>
      </w:r>
      <w:r w:rsidR="00EB37AB" w:rsidRPr="009859A9">
        <w:rPr>
          <w:rFonts w:eastAsiaTheme="minorEastAsia" w:cs="Arial"/>
        </w:rPr>
        <w:t>establishment procedure), the UE selects a cell based on cell selection rules and initiates random access procedure on this selected cell.</w:t>
      </w:r>
    </w:p>
    <w:p w14:paraId="3DF42FA1" w14:textId="604127C5" w:rsidR="00B15C88" w:rsidRDefault="0041249E" w:rsidP="009859A9">
      <w:pPr>
        <w:rPr>
          <w:rFonts w:eastAsiaTheme="minorEastAsia" w:cs="Arial"/>
        </w:rPr>
      </w:pPr>
      <w:r w:rsidRPr="00B21636">
        <w:rPr>
          <w:rFonts w:eastAsiaTheme="minorEastAsia" w:cs="Arial"/>
        </w:rPr>
        <w:t xml:space="preserve">For option 1, </w:t>
      </w:r>
      <w:r>
        <w:rPr>
          <w:rFonts w:eastAsiaTheme="minorEastAsia" w:cs="Arial"/>
        </w:rPr>
        <w:t>it may not be a good choice.</w:t>
      </w:r>
      <w:r w:rsidR="00B15C88">
        <w:rPr>
          <w:rFonts w:eastAsiaTheme="minorEastAsia" w:cs="Arial"/>
        </w:rPr>
        <w:t xml:space="preserve"> If the UE has found the overload</w:t>
      </w:r>
      <w:r w:rsidR="00B21636">
        <w:rPr>
          <w:rFonts w:eastAsiaTheme="minorEastAsia" w:cs="Arial"/>
        </w:rPr>
        <w:t xml:space="preserve"> condition</w:t>
      </w:r>
      <w:r w:rsidR="00B15C88">
        <w:rPr>
          <w:rFonts w:eastAsiaTheme="minorEastAsia" w:cs="Arial"/>
        </w:rPr>
        <w:t xml:space="preserve"> on a BWP due to UL LBT failure</w:t>
      </w:r>
      <w:r w:rsidR="001C3606">
        <w:rPr>
          <w:rFonts w:eastAsiaTheme="minorEastAsia" w:cs="Arial"/>
        </w:rPr>
        <w:t xml:space="preserve"> detection</w:t>
      </w:r>
      <w:r w:rsidR="00B15C88">
        <w:rPr>
          <w:rFonts w:eastAsiaTheme="minorEastAsia" w:cs="Arial"/>
        </w:rPr>
        <w:t>, a good choice is the UE should change</w:t>
      </w:r>
      <w:r w:rsidR="00B21636">
        <w:rPr>
          <w:rFonts w:eastAsiaTheme="minorEastAsia" w:cs="Arial"/>
        </w:rPr>
        <w:t xml:space="preserve"> its frequency range for data transmission</w:t>
      </w:r>
      <w:r w:rsidR="00B15C88">
        <w:rPr>
          <w:rFonts w:eastAsiaTheme="minorEastAsia" w:cs="Arial"/>
        </w:rPr>
        <w:t xml:space="preserve"> to another frequency range other than</w:t>
      </w:r>
      <w:r>
        <w:rPr>
          <w:rFonts w:eastAsiaTheme="minorEastAsia" w:cs="Arial"/>
        </w:rPr>
        <w:t xml:space="preserve"> continues to perform random access preamble transmission on </w:t>
      </w:r>
      <w:r w:rsidR="00B21636">
        <w:rPr>
          <w:rFonts w:eastAsiaTheme="minorEastAsia" w:cs="Arial"/>
        </w:rPr>
        <w:t xml:space="preserve">current </w:t>
      </w:r>
      <w:r>
        <w:rPr>
          <w:rFonts w:eastAsiaTheme="minorEastAsia" w:cs="Arial"/>
        </w:rPr>
        <w:t xml:space="preserve">BWP </w:t>
      </w:r>
      <w:r w:rsidR="00B21636">
        <w:rPr>
          <w:rFonts w:eastAsiaTheme="minorEastAsia" w:cs="Arial"/>
        </w:rPr>
        <w:t xml:space="preserve">where </w:t>
      </w:r>
      <w:r>
        <w:rPr>
          <w:rFonts w:eastAsiaTheme="minorEastAsia" w:cs="Arial"/>
        </w:rPr>
        <w:t>UL LBT failure occurs</w:t>
      </w:r>
      <w:r w:rsidR="008B4C15">
        <w:rPr>
          <w:rFonts w:eastAsiaTheme="minorEastAsia" w:cs="Arial"/>
        </w:rPr>
        <w:t xml:space="preserve">; </w:t>
      </w:r>
      <w:r w:rsidR="00B15C88" w:rsidRPr="00B21636">
        <w:rPr>
          <w:rFonts w:eastAsiaTheme="minorEastAsia" w:cs="Arial"/>
        </w:rPr>
        <w:t xml:space="preserve">For option 2, </w:t>
      </w:r>
      <w:r w:rsidR="00B15C88">
        <w:rPr>
          <w:rFonts w:eastAsiaTheme="minorEastAsia" w:cs="Arial"/>
        </w:rPr>
        <w:t>this option can be applicable to that RACH resource can be configured on multiple BWP</w:t>
      </w:r>
      <w:r w:rsidR="00B15C88" w:rsidRPr="00B21636">
        <w:rPr>
          <w:rFonts w:eastAsiaTheme="minorEastAsia" w:cs="Arial"/>
        </w:rPr>
        <w:t>.</w:t>
      </w:r>
      <w:r w:rsidR="00B21636">
        <w:rPr>
          <w:rFonts w:eastAsiaTheme="minorEastAsia" w:cs="Arial"/>
        </w:rPr>
        <w:t xml:space="preserve"> </w:t>
      </w:r>
      <w:r w:rsidR="008B4C15">
        <w:rPr>
          <w:rFonts w:eastAsiaTheme="minorEastAsia" w:cs="Arial"/>
        </w:rPr>
        <w:t xml:space="preserve">In addition, the BWP configured with the RACH resource should not be overlapping with the previous BWP, based on the same rationale as above; </w:t>
      </w:r>
      <w:r w:rsidR="00B15C88">
        <w:rPr>
          <w:rFonts w:eastAsiaTheme="minorEastAsia" w:cs="Arial"/>
        </w:rPr>
        <w:t>For option 3, it is very similar to</w:t>
      </w:r>
      <w:r w:rsidR="00A83641">
        <w:rPr>
          <w:rFonts w:eastAsiaTheme="minorEastAsia" w:cs="Arial"/>
        </w:rPr>
        <w:t xml:space="preserve"> the recovery of</w:t>
      </w:r>
      <w:r w:rsidR="00B15C88">
        <w:rPr>
          <w:rFonts w:eastAsiaTheme="minorEastAsia" w:cs="Arial"/>
        </w:rPr>
        <w:t xml:space="preserve"> RLF.</w:t>
      </w:r>
    </w:p>
    <w:p w14:paraId="1E600D58" w14:textId="2FAA666C" w:rsidR="00B15C88" w:rsidRDefault="00581762" w:rsidP="00EB37AB">
      <w:pPr>
        <w:spacing w:before="240" w:line="276" w:lineRule="auto"/>
        <w:rPr>
          <w:rFonts w:eastAsiaTheme="minorEastAsia" w:cs="Arial"/>
        </w:rPr>
      </w:pPr>
      <w:r>
        <w:rPr>
          <w:rFonts w:eastAsiaTheme="minorEastAsia" w:cs="Arial"/>
        </w:rPr>
        <w:t xml:space="preserve">Option 2 and option 3 are able to recovery from UL LBT failure. </w:t>
      </w:r>
      <w:r w:rsidR="00A83641">
        <w:rPr>
          <w:rFonts w:eastAsiaTheme="minorEastAsia" w:cs="Arial"/>
        </w:rPr>
        <w:t xml:space="preserve">However, we prefer option3 as the solution for recovery for consistent LBT failure. </w:t>
      </w:r>
      <w:r w:rsidR="000158AE">
        <w:rPr>
          <w:rFonts w:eastAsiaTheme="minorEastAsia" w:cs="Arial"/>
        </w:rPr>
        <w:t>For Option2, the condition it can work is quite restrictive that the BWP after the switching should have RACH resource and on the different frequency range from the previous BWP. The SSB-based RACH resources on a certain cell is generally associated to one SSB burst hence overlapping in frequency domain. Hence, we think the RRC re-establishment is the most straightforward approach.</w:t>
      </w:r>
    </w:p>
    <w:p w14:paraId="32A2BC06" w14:textId="0A49AE40" w:rsidR="00B21636" w:rsidRPr="009859A9" w:rsidRDefault="00B15C88">
      <w:pPr>
        <w:spacing w:before="240" w:line="276" w:lineRule="auto"/>
        <w:rPr>
          <w:rFonts w:eastAsiaTheme="minorEastAsia" w:cs="Arial"/>
          <w:b/>
        </w:rPr>
      </w:pPr>
      <w:r w:rsidRPr="009859A9">
        <w:rPr>
          <w:rFonts w:eastAsiaTheme="minorEastAsia" w:cs="Arial"/>
          <w:b/>
        </w:rPr>
        <w:t xml:space="preserve">Proposal </w:t>
      </w:r>
      <w:r w:rsidR="00232F24">
        <w:rPr>
          <w:rFonts w:eastAsiaTheme="minorEastAsia" w:cs="Arial"/>
          <w:b/>
        </w:rPr>
        <w:t>2</w:t>
      </w:r>
      <w:r w:rsidRPr="009859A9">
        <w:rPr>
          <w:rFonts w:eastAsiaTheme="minorEastAsia" w:cs="Arial"/>
          <w:b/>
        </w:rPr>
        <w:t xml:space="preserve">: </w:t>
      </w:r>
      <w:r w:rsidR="000158AE">
        <w:rPr>
          <w:rFonts w:eastAsiaTheme="minorEastAsia" w:cs="Arial"/>
          <w:b/>
        </w:rPr>
        <w:t>As the recovery mechanism for consistent LBT failure, the UE performs the RRC re-establishment procedure</w:t>
      </w:r>
    </w:p>
    <w:p w14:paraId="0921DFC7" w14:textId="60DCABFD" w:rsidR="00B15C88" w:rsidRDefault="00B15C88" w:rsidP="009859A9">
      <w:pPr>
        <w:pStyle w:val="2"/>
      </w:pPr>
      <w:r>
        <w:t>UL LBT failure on SCell or PSCell</w:t>
      </w:r>
    </w:p>
    <w:p w14:paraId="740C1CDD" w14:textId="72C65B0E" w:rsidR="001C4C1C" w:rsidRDefault="00B15C88" w:rsidP="00EB37AB">
      <w:pPr>
        <w:spacing w:before="240" w:line="276" w:lineRule="auto"/>
        <w:rPr>
          <w:rFonts w:eastAsiaTheme="minorEastAsia" w:cs="Arial"/>
        </w:rPr>
      </w:pPr>
      <w:r>
        <w:rPr>
          <w:rFonts w:eastAsiaTheme="minorEastAsia" w:cs="Arial"/>
        </w:rPr>
        <w:t xml:space="preserve">If UL LBT failure on SCell occurs, the failure report can be reported to network. </w:t>
      </w:r>
      <w:r w:rsidR="00F70940">
        <w:rPr>
          <w:rFonts w:eastAsiaTheme="minorEastAsia" w:cs="Arial"/>
        </w:rPr>
        <w:t>The first question is</w:t>
      </w:r>
      <w:r w:rsidR="001C4C1C">
        <w:rPr>
          <w:rFonts w:eastAsiaTheme="minorEastAsia" w:cs="Arial"/>
        </w:rPr>
        <w:t xml:space="preserve"> the granularity for the report. </w:t>
      </w:r>
      <w:r w:rsidR="00F70940">
        <w:rPr>
          <w:rFonts w:eastAsiaTheme="minorEastAsia" w:cs="Arial"/>
        </w:rPr>
        <w:t>Since on one SCell/PSCell, there is only one active BWP and in the last meeting, we have agreed that the granularity for the LBT failure detection is per BWP, we think it is sufficient to support the consistent LBT failure report on SCell/PSCell on the granularity of serving cell.</w:t>
      </w:r>
    </w:p>
    <w:p w14:paraId="5E294E42" w14:textId="77777777" w:rsidR="00676B0E" w:rsidRDefault="00F70940" w:rsidP="00EB37AB">
      <w:pPr>
        <w:spacing w:before="240" w:line="276" w:lineRule="auto"/>
        <w:rPr>
          <w:rFonts w:eastAsiaTheme="minorEastAsia" w:cs="Arial"/>
          <w:b/>
        </w:rPr>
      </w:pPr>
      <w:r w:rsidRPr="009859A9">
        <w:rPr>
          <w:rFonts w:eastAsiaTheme="minorEastAsia" w:cs="Arial"/>
          <w:b/>
        </w:rPr>
        <w:t xml:space="preserve">Proposal </w:t>
      </w:r>
      <w:r w:rsidR="00020189">
        <w:rPr>
          <w:rFonts w:eastAsiaTheme="minorEastAsia" w:cs="Arial"/>
          <w:b/>
        </w:rPr>
        <w:t>3</w:t>
      </w:r>
      <w:r w:rsidRPr="009859A9">
        <w:rPr>
          <w:rFonts w:eastAsiaTheme="minorEastAsia" w:cs="Arial"/>
          <w:b/>
        </w:rPr>
        <w:t xml:space="preserve">: </w:t>
      </w:r>
      <w:r w:rsidR="00D41286">
        <w:rPr>
          <w:rFonts w:eastAsiaTheme="minorEastAsia" w:cs="Arial"/>
          <w:b/>
        </w:rPr>
        <w:t xml:space="preserve">The UE report the consistent UL LBT failure to the network with a MAC CE on the granularity of serving cell. </w:t>
      </w:r>
    </w:p>
    <w:p w14:paraId="5F12EA0C" w14:textId="24E05289" w:rsidR="00B15C88" w:rsidRPr="009859A9" w:rsidRDefault="00676B0E" w:rsidP="00EB37AB">
      <w:pPr>
        <w:spacing w:before="240" w:line="276" w:lineRule="auto"/>
        <w:rPr>
          <w:rFonts w:eastAsiaTheme="minorEastAsia" w:cs="Arial"/>
          <w:b/>
        </w:rPr>
      </w:pPr>
      <w:r>
        <w:rPr>
          <w:rFonts w:eastAsiaTheme="minorEastAsia" w:cs="Arial"/>
        </w:rPr>
        <w:t>After the transmission of</w:t>
      </w:r>
      <w:r w:rsidR="00B15C88">
        <w:rPr>
          <w:rFonts w:eastAsiaTheme="minorEastAsia" w:cs="Arial"/>
        </w:rPr>
        <w:t xml:space="preserve"> this report, t</w:t>
      </w:r>
      <w:r>
        <w:rPr>
          <w:rFonts w:eastAsiaTheme="minorEastAsia" w:cs="Arial"/>
        </w:rPr>
        <w:t>he UE should</w:t>
      </w:r>
      <w:r w:rsidR="00B15C88">
        <w:rPr>
          <w:rFonts w:eastAsiaTheme="minorEastAsia" w:cs="Arial"/>
        </w:rPr>
        <w:t xml:space="preserve"> release this serving cell. </w:t>
      </w:r>
      <w:r>
        <w:rPr>
          <w:rFonts w:eastAsiaTheme="minorEastAsia" w:cs="Arial"/>
        </w:rPr>
        <w:t xml:space="preserve">The reason is that the cell is useless based on the current situation of consistent LBT failure: even if it still can monitors the DL, and receive DL assignment, it cannot generate any HARQ feedback since the UL is already blocked. </w:t>
      </w:r>
    </w:p>
    <w:p w14:paraId="12E547BA" w14:textId="4CCB14E8" w:rsidR="00B15C88" w:rsidRPr="00331E51" w:rsidRDefault="00B15C88" w:rsidP="00EB37AB">
      <w:pPr>
        <w:spacing w:before="240" w:line="276" w:lineRule="auto"/>
        <w:rPr>
          <w:rFonts w:eastAsiaTheme="minorEastAsia" w:cs="Arial"/>
        </w:rPr>
      </w:pPr>
      <w:r w:rsidRPr="009859A9">
        <w:rPr>
          <w:rFonts w:eastAsiaTheme="minorEastAsia" w:cs="Arial"/>
          <w:b/>
        </w:rPr>
        <w:t xml:space="preserve">Proposal 4: </w:t>
      </w:r>
      <w:r w:rsidR="00F70940">
        <w:rPr>
          <w:rFonts w:eastAsiaTheme="minorEastAsia" w:cs="Arial"/>
          <w:b/>
        </w:rPr>
        <w:t xml:space="preserve">The UE should release the SCell and PSCell after the transmission of consistent UL LBT failure report </w:t>
      </w:r>
      <w:r w:rsidR="00453E2A">
        <w:rPr>
          <w:rFonts w:eastAsiaTheme="minorEastAsia" w:cs="Arial"/>
          <w:b/>
        </w:rPr>
        <w:t xml:space="preserve">MAC CE </w:t>
      </w:r>
      <w:r w:rsidR="00F70940">
        <w:rPr>
          <w:rFonts w:eastAsiaTheme="minorEastAsia" w:cs="Arial"/>
          <w:b/>
        </w:rPr>
        <w:t xml:space="preserve">to the network. </w:t>
      </w:r>
    </w:p>
    <w:p w14:paraId="714029A2" w14:textId="77777777" w:rsidR="00300AE8" w:rsidRPr="003533B0" w:rsidRDefault="00300AE8" w:rsidP="00300AE8">
      <w:pPr>
        <w:pStyle w:val="1"/>
        <w:rPr>
          <w:lang w:val="en-US"/>
        </w:rPr>
      </w:pPr>
      <w:bookmarkStart w:id="4" w:name="_Toc766283"/>
      <w:bookmarkStart w:id="5" w:name="_Toc868954"/>
      <w:bookmarkStart w:id="6" w:name="_Toc868994"/>
      <w:bookmarkStart w:id="7" w:name="_Toc878629"/>
      <w:bookmarkStart w:id="8" w:name="_Toc878642"/>
      <w:bookmarkStart w:id="9" w:name="_Toc878706"/>
      <w:bookmarkStart w:id="10" w:name="_Toc878720"/>
      <w:bookmarkStart w:id="11" w:name="_Toc878730"/>
      <w:bookmarkStart w:id="12" w:name="_Toc878761"/>
      <w:bookmarkStart w:id="13" w:name="_Toc766284"/>
      <w:bookmarkStart w:id="14" w:name="_Toc868955"/>
      <w:bookmarkStart w:id="15" w:name="_Toc868995"/>
      <w:bookmarkStart w:id="16" w:name="_Toc878630"/>
      <w:bookmarkStart w:id="17" w:name="_Toc878643"/>
      <w:bookmarkStart w:id="18" w:name="_Toc878707"/>
      <w:bookmarkStart w:id="19" w:name="_Toc878721"/>
      <w:bookmarkStart w:id="20" w:name="_Toc878731"/>
      <w:bookmarkStart w:id="21" w:name="_Toc878762"/>
      <w:bookmarkStart w:id="22" w:name="_Toc525565501"/>
      <w:bookmarkStart w:id="23" w:name="_Toc465844068"/>
      <w:bookmarkStart w:id="24" w:name="_Toc465844075"/>
      <w:bookmarkStart w:id="25" w:name="_Toc465844076"/>
      <w:bookmarkStart w:id="26" w:name="_Toc465844077"/>
      <w:bookmarkStart w:id="27" w:name="_Toc465844078"/>
      <w:bookmarkStart w:id="28" w:name="_Toc4658440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3533B0">
        <w:rPr>
          <w:lang w:val="en-US"/>
        </w:rPr>
        <w:t>Conclusion</w:t>
      </w:r>
    </w:p>
    <w:p w14:paraId="051841D5" w14:textId="60276C72" w:rsidR="00E4554B" w:rsidRDefault="00E4554B" w:rsidP="00E4554B">
      <w:pPr>
        <w:rPr>
          <w:rFonts w:ascii="Times New Roman" w:hAnsi="Times New Roman"/>
          <w:sz w:val="22"/>
          <w:szCs w:val="22"/>
        </w:rPr>
      </w:pPr>
      <w:r w:rsidRPr="003533B0">
        <w:rPr>
          <w:rFonts w:ascii="Times New Roman" w:hAnsi="Times New Roman"/>
          <w:sz w:val="22"/>
          <w:szCs w:val="22"/>
        </w:rPr>
        <w:t>Based on the discussion we propose the following:</w:t>
      </w:r>
    </w:p>
    <w:p w14:paraId="75325939" w14:textId="77777777" w:rsidR="00676B0E" w:rsidRDefault="00676B0E" w:rsidP="00B15C88">
      <w:pPr>
        <w:rPr>
          <w:rFonts w:cs="Arial"/>
          <w:b/>
          <w:lang w:val="en-US" w:eastAsia="ko-KR"/>
        </w:rPr>
      </w:pPr>
      <w:r w:rsidRPr="00D22A8C">
        <w:rPr>
          <w:rFonts w:cs="Arial"/>
          <w:b/>
          <w:lang w:val="en-US" w:eastAsia="ko-KR"/>
        </w:rPr>
        <w:t>Proposal 1: Counter for UL LBT failure detection should be reset and timer for UL LBT failure detection should be stopped at BWP switching.</w:t>
      </w:r>
    </w:p>
    <w:p w14:paraId="2424B193" w14:textId="77777777" w:rsidR="00676B0E" w:rsidRPr="00D22A8C" w:rsidRDefault="00676B0E" w:rsidP="00676B0E">
      <w:pPr>
        <w:spacing w:before="240" w:line="276" w:lineRule="auto"/>
        <w:rPr>
          <w:rFonts w:eastAsiaTheme="minorEastAsia" w:cs="Arial"/>
          <w:b/>
        </w:rPr>
      </w:pPr>
      <w:r w:rsidRPr="00D22A8C">
        <w:rPr>
          <w:rFonts w:eastAsiaTheme="minorEastAsia" w:cs="Arial"/>
          <w:b/>
        </w:rPr>
        <w:t xml:space="preserve">Proposal </w:t>
      </w:r>
      <w:r>
        <w:rPr>
          <w:rFonts w:eastAsiaTheme="minorEastAsia" w:cs="Arial"/>
          <w:b/>
        </w:rPr>
        <w:t>2</w:t>
      </w:r>
      <w:r w:rsidRPr="00D22A8C">
        <w:rPr>
          <w:rFonts w:eastAsiaTheme="minorEastAsia" w:cs="Arial"/>
          <w:b/>
        </w:rPr>
        <w:t xml:space="preserve">: </w:t>
      </w:r>
      <w:r>
        <w:rPr>
          <w:rFonts w:eastAsiaTheme="minorEastAsia" w:cs="Arial"/>
          <w:b/>
        </w:rPr>
        <w:t>As the recovery mechanism for consistent LBT failure, the UE performs the RRC re-establishment procedure</w:t>
      </w:r>
    </w:p>
    <w:p w14:paraId="23F9758A" w14:textId="77777777" w:rsidR="00676B0E" w:rsidRPr="00D22A8C" w:rsidRDefault="00676B0E" w:rsidP="00676B0E">
      <w:pPr>
        <w:spacing w:before="240" w:line="276" w:lineRule="auto"/>
        <w:rPr>
          <w:rFonts w:eastAsiaTheme="minorEastAsia" w:cs="Arial"/>
          <w:b/>
        </w:rPr>
      </w:pPr>
      <w:r w:rsidRPr="00D22A8C">
        <w:rPr>
          <w:rFonts w:eastAsiaTheme="minorEastAsia" w:cs="Arial"/>
          <w:b/>
        </w:rPr>
        <w:lastRenderedPageBreak/>
        <w:t xml:space="preserve">Proposal </w:t>
      </w:r>
      <w:r>
        <w:rPr>
          <w:rFonts w:eastAsiaTheme="minorEastAsia" w:cs="Arial"/>
          <w:b/>
        </w:rPr>
        <w:t>3</w:t>
      </w:r>
      <w:r w:rsidRPr="00D22A8C">
        <w:rPr>
          <w:rFonts w:eastAsiaTheme="minorEastAsia" w:cs="Arial"/>
          <w:b/>
        </w:rPr>
        <w:t xml:space="preserve">: </w:t>
      </w:r>
      <w:r>
        <w:rPr>
          <w:rFonts w:eastAsiaTheme="minorEastAsia" w:cs="Arial"/>
          <w:b/>
        </w:rPr>
        <w:t xml:space="preserve">The UE report the consistent UL LBT failure to the network with a MAC CE on the granularity of serving cell. </w:t>
      </w:r>
    </w:p>
    <w:p w14:paraId="43F5BBE9" w14:textId="77777777" w:rsidR="002E3EF8" w:rsidRPr="00331E51" w:rsidRDefault="002E3EF8" w:rsidP="002E3EF8">
      <w:pPr>
        <w:spacing w:before="240" w:line="276" w:lineRule="auto"/>
        <w:rPr>
          <w:rFonts w:eastAsiaTheme="minorEastAsia" w:cs="Arial"/>
        </w:rPr>
      </w:pPr>
      <w:r w:rsidRPr="00D22A8C">
        <w:rPr>
          <w:rFonts w:eastAsiaTheme="minorEastAsia" w:cs="Arial"/>
          <w:b/>
        </w:rPr>
        <w:t xml:space="preserve">Proposal 4: </w:t>
      </w:r>
      <w:r>
        <w:rPr>
          <w:rFonts w:eastAsiaTheme="minorEastAsia" w:cs="Arial"/>
          <w:b/>
        </w:rPr>
        <w:t xml:space="preserve">The UE should release the SCell and PSCell after the transmission of consistent UL LBT failure report MAC CE to the network. </w:t>
      </w:r>
    </w:p>
    <w:p w14:paraId="0980C1AE" w14:textId="54D12367" w:rsidR="000F4A88" w:rsidRPr="003533B0" w:rsidRDefault="000F4A88" w:rsidP="00E4554B">
      <w:pPr>
        <w:pStyle w:val="1"/>
      </w:pPr>
      <w:r w:rsidRPr="003533B0">
        <w:t>References</w:t>
      </w:r>
    </w:p>
    <w:p w14:paraId="0C137964" w14:textId="69483638" w:rsidR="008A3230" w:rsidRPr="009859A9" w:rsidRDefault="008706D0" w:rsidP="009859A9">
      <w:pPr>
        <w:pStyle w:val="Reference"/>
        <w:widowControl w:val="0"/>
        <w:numPr>
          <w:ilvl w:val="0"/>
          <w:numId w:val="18"/>
        </w:numPr>
        <w:rPr>
          <w:rFonts w:eastAsiaTheme="minorEastAsia" w:cs="Arial"/>
          <w:lang w:val="de-DE"/>
        </w:rPr>
      </w:pPr>
      <w:bookmarkStart w:id="29" w:name="_Ref513478584"/>
      <w:r w:rsidRPr="003533B0">
        <w:rPr>
          <w:rFonts w:ascii="Times New Roman" w:hAnsi="Times New Roman"/>
        </w:rPr>
        <w:t>RAN2#10</w:t>
      </w:r>
      <w:r w:rsidR="00382C0A">
        <w:rPr>
          <w:rFonts w:ascii="Times New Roman" w:hAnsi="Times New Roman"/>
        </w:rPr>
        <w:t>6</w:t>
      </w:r>
      <w:r w:rsidRPr="003533B0">
        <w:rPr>
          <w:rFonts w:ascii="Times New Roman" w:hAnsi="Times New Roman"/>
        </w:rPr>
        <w:t xml:space="preserve"> chairman note</w:t>
      </w:r>
      <w:bookmarkEnd w:id="29"/>
    </w:p>
    <w:sectPr w:rsidR="008A3230" w:rsidRPr="009859A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9E4C2" w14:textId="77777777" w:rsidR="00AB587A" w:rsidRDefault="00AB587A">
      <w:pPr>
        <w:spacing w:after="0"/>
      </w:pPr>
      <w:r>
        <w:separator/>
      </w:r>
    </w:p>
  </w:endnote>
  <w:endnote w:type="continuationSeparator" w:id="0">
    <w:p w14:paraId="5E2E1282" w14:textId="77777777" w:rsidR="00AB587A" w:rsidRDefault="00AB587A">
      <w:pPr>
        <w:spacing w:after="0"/>
      </w:pPr>
      <w:r>
        <w:continuationSeparator/>
      </w:r>
    </w:p>
  </w:endnote>
  <w:endnote w:type="continuationNotice" w:id="1">
    <w:p w14:paraId="29A83565" w14:textId="77777777" w:rsidR="00AB587A" w:rsidRDefault="00AB5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1931D" w14:textId="77777777" w:rsidR="00AB587A" w:rsidRDefault="00AB587A">
      <w:pPr>
        <w:spacing w:after="0"/>
      </w:pPr>
      <w:r>
        <w:separator/>
      </w:r>
    </w:p>
  </w:footnote>
  <w:footnote w:type="continuationSeparator" w:id="0">
    <w:p w14:paraId="4FC0BE1C" w14:textId="77777777" w:rsidR="00AB587A" w:rsidRDefault="00AB587A">
      <w:pPr>
        <w:spacing w:after="0"/>
      </w:pPr>
      <w:r>
        <w:continuationSeparator/>
      </w:r>
    </w:p>
  </w:footnote>
  <w:footnote w:type="continuationNotice" w:id="1">
    <w:p w14:paraId="25066A3D" w14:textId="77777777" w:rsidR="00AB587A" w:rsidRDefault="00AB58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4412DC"/>
    <w:multiLevelType w:val="hybridMultilevel"/>
    <w:tmpl w:val="73AE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94390"/>
    <w:multiLevelType w:val="hybridMultilevel"/>
    <w:tmpl w:val="72D2776A"/>
    <w:lvl w:ilvl="0" w:tplc="7D522EB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27880"/>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B1483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10" w15:restartNumberingAfterBreak="0">
    <w:nsid w:val="191C6B17"/>
    <w:multiLevelType w:val="hybridMultilevel"/>
    <w:tmpl w:val="744C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4611C"/>
    <w:multiLevelType w:val="hybridMultilevel"/>
    <w:tmpl w:val="0CEAA832"/>
    <w:lvl w:ilvl="0" w:tplc="416A01FA">
      <w:start w:val="1"/>
      <w:numFmt w:val="decimal"/>
      <w:lvlText w:val="Option %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9C4E5F"/>
    <w:multiLevelType w:val="hybridMultilevel"/>
    <w:tmpl w:val="CB28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E3212C"/>
    <w:multiLevelType w:val="hybridMultilevel"/>
    <w:tmpl w:val="63FE8204"/>
    <w:lvl w:ilvl="0" w:tplc="78A864B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A7B4D"/>
    <w:multiLevelType w:val="hybridMultilevel"/>
    <w:tmpl w:val="15F6D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5D1D65"/>
    <w:multiLevelType w:val="multilevel"/>
    <w:tmpl w:val="B0B82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6F657B"/>
    <w:multiLevelType w:val="hybridMultilevel"/>
    <w:tmpl w:val="D8F6F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F47E58"/>
    <w:multiLevelType w:val="multilevel"/>
    <w:tmpl w:val="9DCAB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F5D85"/>
    <w:multiLevelType w:val="hybridMultilevel"/>
    <w:tmpl w:val="1C4A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454E0"/>
    <w:multiLevelType w:val="multilevel"/>
    <w:tmpl w:val="CF62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A169EE"/>
    <w:multiLevelType w:val="hybridMultilevel"/>
    <w:tmpl w:val="5DC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3209D2"/>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7"/>
  </w:num>
  <w:num w:numId="3">
    <w:abstractNumId w:val="23"/>
  </w:num>
  <w:num w:numId="4">
    <w:abstractNumId w:val="29"/>
  </w:num>
  <w:num w:numId="5">
    <w:abstractNumId w:val="16"/>
  </w:num>
  <w:num w:numId="6">
    <w:abstractNumId w:val="37"/>
  </w:num>
  <w:num w:numId="7">
    <w:abstractNumId w:val="40"/>
  </w:num>
  <w:num w:numId="8">
    <w:abstractNumId w:val="29"/>
  </w:num>
  <w:num w:numId="9">
    <w:abstractNumId w:val="23"/>
  </w:num>
  <w:num w:numId="10">
    <w:abstractNumId w:val="29"/>
  </w:num>
  <w:num w:numId="11">
    <w:abstractNumId w:val="29"/>
  </w:num>
  <w:num w:numId="12">
    <w:abstractNumId w:val="29"/>
    <w:lvlOverride w:ilvl="0">
      <w:startOverride w:val="1"/>
    </w:lvlOverride>
  </w:num>
  <w:num w:numId="13">
    <w:abstractNumId w:val="41"/>
  </w:num>
  <w:num w:numId="14">
    <w:abstractNumId w:val="17"/>
  </w:num>
  <w:num w:numId="15">
    <w:abstractNumId w:val="15"/>
  </w:num>
  <w:num w:numId="16">
    <w:abstractNumId w:val="3"/>
  </w:num>
  <w:num w:numId="17">
    <w:abstractNumId w:val="0"/>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27"/>
  </w:num>
  <w:num w:numId="24">
    <w:abstractNumId w:val="1"/>
  </w:num>
  <w:num w:numId="25">
    <w:abstractNumId w:val="2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8"/>
  </w:num>
  <w:num w:numId="29">
    <w:abstractNumId w:val="32"/>
  </w:num>
  <w:num w:numId="30">
    <w:abstractNumId w:val="25"/>
  </w:num>
  <w:num w:numId="31">
    <w:abstractNumId w:val="36"/>
  </w:num>
  <w:num w:numId="32">
    <w:abstractNumId w:val="21"/>
  </w:num>
  <w:num w:numId="33">
    <w:abstractNumId w:val="11"/>
  </w:num>
  <w:num w:numId="34">
    <w:abstractNumId w:val="18"/>
  </w:num>
  <w:num w:numId="35">
    <w:abstractNumId w:val="14"/>
  </w:num>
  <w:num w:numId="36">
    <w:abstractNumId w:val="7"/>
  </w:num>
  <w:num w:numId="37">
    <w:abstractNumId w:val="10"/>
  </w:num>
  <w:num w:numId="38">
    <w:abstractNumId w:val="33"/>
  </w:num>
  <w:num w:numId="39">
    <w:abstractNumId w:val="38"/>
  </w:num>
  <w:num w:numId="40">
    <w:abstractNumId w:val="31"/>
  </w:num>
  <w:num w:numId="41">
    <w:abstractNumId w:val="34"/>
  </w:num>
  <w:num w:numId="42">
    <w:abstractNumId w:val="28"/>
  </w:num>
  <w:num w:numId="43">
    <w:abstractNumId w:val="26"/>
  </w:num>
  <w:num w:numId="44">
    <w:abstractNumId w:val="19"/>
  </w:num>
  <w:num w:numId="45">
    <w:abstractNumId w:val="35"/>
  </w:num>
  <w:num w:numId="46">
    <w:abstractNumId w:val="6"/>
  </w:num>
  <w:num w:numId="47">
    <w:abstractNumId w:val="4"/>
  </w:num>
  <w:num w:numId="48">
    <w:abstractNumId w:val="12"/>
  </w:num>
  <w:num w:numId="49">
    <w:abstractNumId w:val="13"/>
  </w:num>
  <w:num w:numId="50">
    <w:abstractNumId w:val="30"/>
  </w:num>
  <w:num w:numId="5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58AE"/>
    <w:rsid w:val="00016E83"/>
    <w:rsid w:val="00020189"/>
    <w:rsid w:val="0002299F"/>
    <w:rsid w:val="0002789D"/>
    <w:rsid w:val="00030CE1"/>
    <w:rsid w:val="00030EE7"/>
    <w:rsid w:val="000332CC"/>
    <w:rsid w:val="00034708"/>
    <w:rsid w:val="00035348"/>
    <w:rsid w:val="000379FF"/>
    <w:rsid w:val="00041C84"/>
    <w:rsid w:val="00042739"/>
    <w:rsid w:val="00044D45"/>
    <w:rsid w:val="0004501B"/>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94D35"/>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37292"/>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0C51"/>
    <w:rsid w:val="001C1EFC"/>
    <w:rsid w:val="001C2143"/>
    <w:rsid w:val="001C2828"/>
    <w:rsid w:val="001C334A"/>
    <w:rsid w:val="001C3606"/>
    <w:rsid w:val="001C3E65"/>
    <w:rsid w:val="001C4C1C"/>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2F24"/>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B4C"/>
    <w:rsid w:val="00297C0B"/>
    <w:rsid w:val="00297C6C"/>
    <w:rsid w:val="002A12B8"/>
    <w:rsid w:val="002A365B"/>
    <w:rsid w:val="002A56D6"/>
    <w:rsid w:val="002A6EC1"/>
    <w:rsid w:val="002B025B"/>
    <w:rsid w:val="002B160A"/>
    <w:rsid w:val="002B36AD"/>
    <w:rsid w:val="002B6DF4"/>
    <w:rsid w:val="002B7BC8"/>
    <w:rsid w:val="002C2ABC"/>
    <w:rsid w:val="002C41C2"/>
    <w:rsid w:val="002C5AFE"/>
    <w:rsid w:val="002C6B36"/>
    <w:rsid w:val="002C71F6"/>
    <w:rsid w:val="002C7B14"/>
    <w:rsid w:val="002D0194"/>
    <w:rsid w:val="002D0933"/>
    <w:rsid w:val="002D1355"/>
    <w:rsid w:val="002D333C"/>
    <w:rsid w:val="002D4F5D"/>
    <w:rsid w:val="002D66DC"/>
    <w:rsid w:val="002D7DFA"/>
    <w:rsid w:val="002E09EB"/>
    <w:rsid w:val="002E0C27"/>
    <w:rsid w:val="002E1381"/>
    <w:rsid w:val="002E17E7"/>
    <w:rsid w:val="002E1CBB"/>
    <w:rsid w:val="002E3EF8"/>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1E51"/>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0B92"/>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3EE6"/>
    <w:rsid w:val="004344B7"/>
    <w:rsid w:val="004412D2"/>
    <w:rsid w:val="0044206F"/>
    <w:rsid w:val="00442A5B"/>
    <w:rsid w:val="00442EC8"/>
    <w:rsid w:val="00442F81"/>
    <w:rsid w:val="0044357F"/>
    <w:rsid w:val="00443B03"/>
    <w:rsid w:val="00443B52"/>
    <w:rsid w:val="00447FB3"/>
    <w:rsid w:val="00450451"/>
    <w:rsid w:val="00451D6C"/>
    <w:rsid w:val="00452555"/>
    <w:rsid w:val="00453239"/>
    <w:rsid w:val="00453E2A"/>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4875"/>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16BEE"/>
    <w:rsid w:val="00623112"/>
    <w:rsid w:val="00623601"/>
    <w:rsid w:val="0062612F"/>
    <w:rsid w:val="00626476"/>
    <w:rsid w:val="006265F2"/>
    <w:rsid w:val="00630719"/>
    <w:rsid w:val="0063158F"/>
    <w:rsid w:val="006317C5"/>
    <w:rsid w:val="006321CA"/>
    <w:rsid w:val="0063359E"/>
    <w:rsid w:val="00633AAF"/>
    <w:rsid w:val="0063490E"/>
    <w:rsid w:val="00634D4C"/>
    <w:rsid w:val="006400D8"/>
    <w:rsid w:val="00640D73"/>
    <w:rsid w:val="0064246C"/>
    <w:rsid w:val="00642939"/>
    <w:rsid w:val="0064454E"/>
    <w:rsid w:val="0064462E"/>
    <w:rsid w:val="006541C1"/>
    <w:rsid w:val="0066129D"/>
    <w:rsid w:val="0066234E"/>
    <w:rsid w:val="00663D87"/>
    <w:rsid w:val="0066681A"/>
    <w:rsid w:val="006708A4"/>
    <w:rsid w:val="00672271"/>
    <w:rsid w:val="006734C5"/>
    <w:rsid w:val="006759A9"/>
    <w:rsid w:val="00675A11"/>
    <w:rsid w:val="00676B0E"/>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212"/>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0B9A"/>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0F3E"/>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B4C15"/>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72"/>
    <w:rsid w:val="00915DAB"/>
    <w:rsid w:val="00920A38"/>
    <w:rsid w:val="0092279C"/>
    <w:rsid w:val="009237DB"/>
    <w:rsid w:val="009254B0"/>
    <w:rsid w:val="00926D5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59A9"/>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68A0"/>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3641"/>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87A"/>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2440"/>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A5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21A"/>
    <w:rsid w:val="00C14904"/>
    <w:rsid w:val="00C16175"/>
    <w:rsid w:val="00C162AF"/>
    <w:rsid w:val="00C167DE"/>
    <w:rsid w:val="00C17592"/>
    <w:rsid w:val="00C217B7"/>
    <w:rsid w:val="00C21CB1"/>
    <w:rsid w:val="00C236F1"/>
    <w:rsid w:val="00C2388A"/>
    <w:rsid w:val="00C24608"/>
    <w:rsid w:val="00C2711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39"/>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44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1286"/>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97D14"/>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37AB"/>
    <w:rsid w:val="00EB492E"/>
    <w:rsid w:val="00EB4F16"/>
    <w:rsid w:val="00EC0FB7"/>
    <w:rsid w:val="00EC161A"/>
    <w:rsid w:val="00EC47E4"/>
    <w:rsid w:val="00EC4AB4"/>
    <w:rsid w:val="00EC5C3F"/>
    <w:rsid w:val="00EC6FC1"/>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0940"/>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05025029">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C388905-1B7F-469D-A0D5-AEA8832B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3</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66</cp:revision>
  <dcterms:created xsi:type="dcterms:W3CDTF">2019-07-15T04:12:00Z</dcterms:created>
  <dcterms:modified xsi:type="dcterms:W3CDTF">2019-10-03T16:06:00Z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(3)tvpCHtRYFNH2vdGggNuzEmn+AwXxyCoQ5VNO4n3CL/lZz0BJur8xVVHgpBq31Nl0HkGZneqe
QGUTRWsbt8WkvfbVEXeo8gBl8GR99UJVBqlt8unXa85dbPgo8aOO2KtYLThBsUU9PGs6EKVG
CPWtxy3wqf5lybA93Qr3Jmxa7vcHEXixuu+CgtrePK3BCBkwaQbfqvrKo97kq+h0H4dj0P/a
XYAdh8SXJaqjBmfZRT</vt:lpwstr>
  </property>
  <property fmtid="{D5CDD505-2E9C-101B-9397-08002B2CF9AE}" pid="17" name="_2015_ms_pID_7253431">
    <vt:lpwstr>N9yPV7XPKKBVGuJnSJW3yNdUYaMZJTCc/MFsBI7rNfJZlrsBxWYzuB
DTbebm8khVEehK812aoMMLW2fKmWXvyFOjP3cTuB+tI5gWJXVyqvwf28Dfhi3ugKvZHGnNVF
q4T65s57kgF1My3+DRldrlCMyioe9z4TxRvE80GwShKXx8KilfLliUbZJ1M5LZQN1y+62IW/
+K+n1hEz0spFgmC1xT74WCOjPvu+4uo6I1m2</vt:lpwstr>
  </property>
  <property fmtid="{D5CDD505-2E9C-101B-9397-08002B2CF9AE}" pid="18" name="_2015_ms_pID_7253432">
    <vt:lpwstr>apu1nXSAJYXj5vXtZDuetYc=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1570118745</vt:lpwstr>
  </property>
</Properties>
</file>